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7EAA" w14:textId="7ED0E522" w:rsidR="005E5EE7" w:rsidRDefault="005E5EE7" w:rsidP="005E5EE7">
      <w:pPr>
        <w:rPr>
          <w:b/>
          <w:bCs/>
        </w:rPr>
      </w:pPr>
      <w:r>
        <w:rPr>
          <w:rFonts w:ascii="Helvetica" w:hAnsi="Helvetica" w:cs="Helvetica"/>
          <w:b/>
          <w:bCs/>
          <w:color w:val="E5DA97"/>
          <w:sz w:val="32"/>
          <w:szCs w:val="32"/>
        </w:rPr>
        <w:t>Sig's Funeral &amp; Cremation Services</w:t>
      </w:r>
    </w:p>
    <w:p w14:paraId="4F469F6F" w14:textId="77777777" w:rsidR="005E5EE7" w:rsidRDefault="005E5EE7" w:rsidP="005E5EE7">
      <w:pPr>
        <w:rPr>
          <w:b/>
          <w:bCs/>
        </w:rPr>
      </w:pPr>
    </w:p>
    <w:p w14:paraId="60CAAF4D" w14:textId="359925A9" w:rsidR="005E5EE7" w:rsidRPr="005E5EE7" w:rsidRDefault="005E5EE7" w:rsidP="005E5EE7">
      <w:pPr>
        <w:rPr>
          <w:b/>
          <w:bCs/>
        </w:rPr>
      </w:pPr>
      <w:r w:rsidRPr="005E5EE7">
        <w:rPr>
          <w:b/>
          <w:bCs/>
        </w:rPr>
        <w:t>Veterans Headstones</w:t>
      </w:r>
    </w:p>
    <w:p w14:paraId="5AB41A07" w14:textId="77777777" w:rsidR="005E5EE7" w:rsidRPr="005E5EE7" w:rsidRDefault="00CB1A09" w:rsidP="005E5EE7">
      <w:r w:rsidRPr="00CB1A09">
        <w:rPr>
          <w:noProof/>
        </w:rPr>
        <w:pict w14:anchorId="06861470">
          <v:rect id="_x0000_i1025" alt="" style="width:468pt;height:.05pt;mso-width-percent:0;mso-height-percent:0;mso-width-percent:0;mso-height-percent:0" o:hralign="center" o:hrstd="t" o:hr="t" fillcolor="#a0a0a0" stroked="f"/>
        </w:pict>
      </w:r>
    </w:p>
    <w:p w14:paraId="4A575E73" w14:textId="045C44F2" w:rsidR="005E5EE7" w:rsidRDefault="005E5EE7" w:rsidP="005E5EE7">
      <w:r w:rsidRPr="005E5EE7">
        <w:t>The Department of Veterans Affairs (VA) furnishes upon request, at no charge to the applicant, a Government headstone or marker for the unmarked grave of any deceased eligible veteran in any cemetery around the world, regardless of their date of death.   For eligible veterans that died on or after Nov. 1, 1990, VA may also provide a headstone or marker for graves that are already marked with a private headstone or marker. When the grave is already marked, applicants will have the option to apply for either a traditional headstone or marker, or a new device (available spring 2009).  </w:t>
      </w:r>
    </w:p>
    <w:p w14:paraId="62CD9D27" w14:textId="77777777" w:rsidR="005E5EE7" w:rsidRPr="005E5EE7" w:rsidRDefault="005E5EE7" w:rsidP="005E5EE7"/>
    <w:p w14:paraId="14CF4ECD" w14:textId="77777777" w:rsidR="005E5EE7" w:rsidRPr="005E5EE7" w:rsidRDefault="005E5EE7" w:rsidP="005E5EE7">
      <w:r w:rsidRPr="005E5EE7">
        <w:t xml:space="preserve">Flat markers in granite, marble, and bronze and upright headstones in granite and marble are available. The style chosen must be consistent with existing monuments at the place of burial. Niche </w:t>
      </w:r>
      <w:proofErr w:type="spellStart"/>
      <w:r w:rsidRPr="005E5EE7">
        <w:t>markers</w:t>
      </w:r>
      <w:proofErr w:type="spellEnd"/>
      <w:r w:rsidRPr="005E5EE7">
        <w:t xml:space="preserve"> are also available to mark columbaria used for inurnment of cremated remains.</w:t>
      </w:r>
    </w:p>
    <w:p w14:paraId="700ECCF6" w14:textId="77777777" w:rsidR="005E5EE7" w:rsidRPr="005E5EE7" w:rsidRDefault="005E5EE7" w:rsidP="005E5EE7">
      <w:r w:rsidRPr="005E5EE7">
        <w:t>When burial or memorialization is in a national cemetery, state veterans' cemetery, or military post/base cemetery, a headstone or marker will be ordered by the cemetery officials based on inscription information provided by the next of kin or authorized representative.</w:t>
      </w:r>
    </w:p>
    <w:p w14:paraId="02D9E5F1" w14:textId="72E02E06" w:rsidR="005E5EE7" w:rsidRDefault="005E5EE7" w:rsidP="005E5EE7">
      <w:r w:rsidRPr="005E5EE7">
        <w:t>Spouses and dependents are not eligible for a Government-furnished headstone or marker unless they are buried in a national cemetery, state veteran's cemetery, or military post/base cemetery.</w:t>
      </w:r>
    </w:p>
    <w:p w14:paraId="1D529F3B" w14:textId="77777777" w:rsidR="005E5EE7" w:rsidRPr="005E5EE7" w:rsidRDefault="005E5EE7" w:rsidP="005E5EE7"/>
    <w:p w14:paraId="7C5709AA" w14:textId="2EF354DF" w:rsidR="005E5EE7" w:rsidRDefault="005E5EE7" w:rsidP="005E5EE7">
      <w:r w:rsidRPr="005E5EE7">
        <w:t>Note: There is no charge for the headstone or marker itself, however arrangements for placing it in a private cemetery are the applicant's responsibility and all setting fees are at private expense.</w:t>
      </w:r>
    </w:p>
    <w:p w14:paraId="480BB645" w14:textId="77777777" w:rsidR="005E5EE7" w:rsidRPr="005E5EE7" w:rsidRDefault="005E5EE7" w:rsidP="005E5EE7"/>
    <w:p w14:paraId="321ACB07" w14:textId="77777777" w:rsidR="005E5EE7" w:rsidRPr="005E5EE7" w:rsidRDefault="005E5EE7" w:rsidP="005E5EE7">
      <w:hyperlink r:id="rId4" w:history="1">
        <w:r w:rsidRPr="005E5EE7">
          <w:rPr>
            <w:rStyle w:val="Hyperlink"/>
          </w:rPr>
          <w:t>Important Notice - New Law Concerning Eligibility for Headstones and Markers</w:t>
        </w:r>
      </w:hyperlink>
    </w:p>
    <w:p w14:paraId="30CF0C88" w14:textId="77777777" w:rsidR="0082180A" w:rsidRPr="005E5EE7" w:rsidRDefault="00CB1A09" w:rsidP="005E5EE7"/>
    <w:sectPr w:rsidR="0082180A" w:rsidRPr="005E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E7"/>
    <w:rsid w:val="005E5EE7"/>
    <w:rsid w:val="008D1B51"/>
    <w:rsid w:val="00CB1A09"/>
    <w:rsid w:val="00D4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CB9A"/>
  <w15:chartTrackingRefBased/>
  <w15:docId w15:val="{80A58619-D74E-8943-876B-AD352347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E7"/>
    <w:rPr>
      <w:color w:val="0563C1" w:themeColor="hyperlink"/>
      <w:u w:val="single"/>
    </w:rPr>
  </w:style>
  <w:style w:type="character" w:styleId="UnresolvedMention">
    <w:name w:val="Unresolved Mention"/>
    <w:basedOn w:val="DefaultParagraphFont"/>
    <w:uiPriority w:val="99"/>
    <w:semiHidden/>
    <w:unhideWhenUsed/>
    <w:rsid w:val="005E5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59887">
      <w:bodyDiv w:val="1"/>
      <w:marLeft w:val="0"/>
      <w:marRight w:val="0"/>
      <w:marTop w:val="0"/>
      <w:marBottom w:val="0"/>
      <w:divBdr>
        <w:top w:val="none" w:sz="0" w:space="0" w:color="auto"/>
        <w:left w:val="none" w:sz="0" w:space="0" w:color="auto"/>
        <w:bottom w:val="none" w:sz="0" w:space="0" w:color="auto"/>
        <w:right w:val="none" w:sz="0" w:space="0" w:color="auto"/>
      </w:divBdr>
      <w:divsChild>
        <w:div w:id="1691486903">
          <w:marLeft w:val="150"/>
          <w:marRight w:val="150"/>
          <w:marTop w:val="150"/>
          <w:marBottom w:val="150"/>
          <w:divBdr>
            <w:top w:val="none" w:sz="0" w:space="0" w:color="auto"/>
            <w:left w:val="none" w:sz="0" w:space="0" w:color="auto"/>
            <w:bottom w:val="none" w:sz="0" w:space="0" w:color="auto"/>
            <w:right w:val="none" w:sz="0" w:space="0" w:color="auto"/>
          </w:divBdr>
          <w:divsChild>
            <w:div w:id="1266303667">
              <w:marLeft w:val="-225"/>
              <w:marRight w:val="-225"/>
              <w:marTop w:val="0"/>
              <w:marBottom w:val="0"/>
              <w:divBdr>
                <w:top w:val="none" w:sz="0" w:space="0" w:color="auto"/>
                <w:left w:val="none" w:sz="0" w:space="0" w:color="auto"/>
                <w:bottom w:val="none" w:sz="0" w:space="0" w:color="auto"/>
                <w:right w:val="none" w:sz="0" w:space="0" w:color="auto"/>
              </w:divBdr>
              <w:divsChild>
                <w:div w:id="244457383">
                  <w:marLeft w:val="0"/>
                  <w:marRight w:val="0"/>
                  <w:marTop w:val="0"/>
                  <w:marBottom w:val="0"/>
                  <w:divBdr>
                    <w:top w:val="none" w:sz="0" w:space="0" w:color="auto"/>
                    <w:left w:val="none" w:sz="0" w:space="0" w:color="auto"/>
                    <w:bottom w:val="none" w:sz="0" w:space="0" w:color="auto"/>
                    <w:right w:val="none" w:sz="0" w:space="0" w:color="auto"/>
                  </w:divBdr>
                  <w:divsChild>
                    <w:div w:id="180632061">
                      <w:marLeft w:val="0"/>
                      <w:marRight w:val="0"/>
                      <w:marTop w:val="0"/>
                      <w:marBottom w:val="0"/>
                      <w:divBdr>
                        <w:top w:val="none" w:sz="0" w:space="0" w:color="auto"/>
                        <w:left w:val="none" w:sz="0" w:space="0" w:color="auto"/>
                        <w:bottom w:val="none" w:sz="0" w:space="0" w:color="auto"/>
                        <w:right w:val="none" w:sz="0" w:space="0" w:color="auto"/>
                      </w:divBdr>
                    </w:div>
                    <w:div w:id="6856688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92546828">
          <w:marLeft w:val="150"/>
          <w:marRight w:val="150"/>
          <w:marTop w:val="150"/>
          <w:marBottom w:val="150"/>
          <w:divBdr>
            <w:top w:val="none" w:sz="0" w:space="0" w:color="auto"/>
            <w:left w:val="none" w:sz="0" w:space="0" w:color="auto"/>
            <w:bottom w:val="none" w:sz="0" w:space="0" w:color="auto"/>
            <w:right w:val="none" w:sz="0" w:space="0" w:color="auto"/>
          </w:divBdr>
          <w:divsChild>
            <w:div w:id="908734236">
              <w:marLeft w:val="-225"/>
              <w:marRight w:val="-225"/>
              <w:marTop w:val="0"/>
              <w:marBottom w:val="0"/>
              <w:divBdr>
                <w:top w:val="none" w:sz="0" w:space="0" w:color="auto"/>
                <w:left w:val="none" w:sz="0" w:space="0" w:color="auto"/>
                <w:bottom w:val="none" w:sz="0" w:space="0" w:color="auto"/>
                <w:right w:val="none" w:sz="0" w:space="0" w:color="auto"/>
              </w:divBdr>
              <w:divsChild>
                <w:div w:id="1590692312">
                  <w:marLeft w:val="0"/>
                  <w:marRight w:val="0"/>
                  <w:marTop w:val="0"/>
                  <w:marBottom w:val="0"/>
                  <w:divBdr>
                    <w:top w:val="none" w:sz="0" w:space="0" w:color="auto"/>
                    <w:left w:val="none" w:sz="0" w:space="0" w:color="auto"/>
                    <w:bottom w:val="none" w:sz="0" w:space="0" w:color="auto"/>
                    <w:right w:val="none" w:sz="0" w:space="0" w:color="auto"/>
                  </w:divBdr>
                  <w:divsChild>
                    <w:div w:id="797719659">
                      <w:marLeft w:val="0"/>
                      <w:marRight w:val="0"/>
                      <w:marTop w:val="0"/>
                      <w:marBottom w:val="0"/>
                      <w:divBdr>
                        <w:top w:val="none" w:sz="0" w:space="0" w:color="auto"/>
                        <w:left w:val="none" w:sz="0" w:space="0" w:color="auto"/>
                        <w:bottom w:val="none" w:sz="0" w:space="0" w:color="auto"/>
                        <w:right w:val="none" w:sz="0" w:space="0" w:color="auto"/>
                      </w:divBdr>
                      <w:divsChild>
                        <w:div w:id="612785029">
                          <w:marLeft w:val="-225"/>
                          <w:marRight w:val="-225"/>
                          <w:marTop w:val="0"/>
                          <w:marBottom w:val="0"/>
                          <w:divBdr>
                            <w:top w:val="none" w:sz="0" w:space="0" w:color="auto"/>
                            <w:left w:val="none" w:sz="0" w:space="0" w:color="auto"/>
                            <w:bottom w:val="none" w:sz="0" w:space="0" w:color="auto"/>
                            <w:right w:val="none" w:sz="0" w:space="0" w:color="auto"/>
                          </w:divBdr>
                          <w:divsChild>
                            <w:div w:id="629677362">
                              <w:marLeft w:val="0"/>
                              <w:marRight w:val="0"/>
                              <w:marTop w:val="0"/>
                              <w:marBottom w:val="0"/>
                              <w:divBdr>
                                <w:top w:val="none" w:sz="0" w:space="0" w:color="auto"/>
                                <w:left w:val="none" w:sz="0" w:space="0" w:color="auto"/>
                                <w:bottom w:val="none" w:sz="0" w:space="0" w:color="auto"/>
                                <w:right w:val="none" w:sz="0" w:space="0" w:color="auto"/>
                              </w:divBdr>
                              <w:divsChild>
                                <w:div w:id="233399831">
                                  <w:marLeft w:val="150"/>
                                  <w:marRight w:val="150"/>
                                  <w:marTop w:val="0"/>
                                  <w:marBottom w:val="0"/>
                                  <w:divBdr>
                                    <w:top w:val="none" w:sz="0" w:space="0" w:color="auto"/>
                                    <w:left w:val="none" w:sz="0" w:space="0" w:color="auto"/>
                                    <w:bottom w:val="none" w:sz="0" w:space="0" w:color="auto"/>
                                    <w:right w:val="none" w:sz="0" w:space="0" w:color="auto"/>
                                  </w:divBdr>
                                  <w:divsChild>
                                    <w:div w:id="4563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365598">
      <w:bodyDiv w:val="1"/>
      <w:marLeft w:val="0"/>
      <w:marRight w:val="0"/>
      <w:marTop w:val="0"/>
      <w:marBottom w:val="0"/>
      <w:divBdr>
        <w:top w:val="none" w:sz="0" w:space="0" w:color="auto"/>
        <w:left w:val="none" w:sz="0" w:space="0" w:color="auto"/>
        <w:bottom w:val="none" w:sz="0" w:space="0" w:color="auto"/>
        <w:right w:val="none" w:sz="0" w:space="0" w:color="auto"/>
      </w:divBdr>
      <w:divsChild>
        <w:div w:id="435177532">
          <w:marLeft w:val="150"/>
          <w:marRight w:val="150"/>
          <w:marTop w:val="150"/>
          <w:marBottom w:val="150"/>
          <w:divBdr>
            <w:top w:val="none" w:sz="0" w:space="0" w:color="auto"/>
            <w:left w:val="none" w:sz="0" w:space="0" w:color="auto"/>
            <w:bottom w:val="none" w:sz="0" w:space="0" w:color="auto"/>
            <w:right w:val="none" w:sz="0" w:space="0" w:color="auto"/>
          </w:divBdr>
          <w:divsChild>
            <w:div w:id="120611400">
              <w:marLeft w:val="-225"/>
              <w:marRight w:val="-225"/>
              <w:marTop w:val="0"/>
              <w:marBottom w:val="0"/>
              <w:divBdr>
                <w:top w:val="none" w:sz="0" w:space="0" w:color="auto"/>
                <w:left w:val="none" w:sz="0" w:space="0" w:color="auto"/>
                <w:bottom w:val="none" w:sz="0" w:space="0" w:color="auto"/>
                <w:right w:val="none" w:sz="0" w:space="0" w:color="auto"/>
              </w:divBdr>
              <w:divsChild>
                <w:div w:id="123740853">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
                    <w:div w:id="9675859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9654172">
          <w:marLeft w:val="150"/>
          <w:marRight w:val="150"/>
          <w:marTop w:val="150"/>
          <w:marBottom w:val="150"/>
          <w:divBdr>
            <w:top w:val="none" w:sz="0" w:space="0" w:color="auto"/>
            <w:left w:val="none" w:sz="0" w:space="0" w:color="auto"/>
            <w:bottom w:val="none" w:sz="0" w:space="0" w:color="auto"/>
            <w:right w:val="none" w:sz="0" w:space="0" w:color="auto"/>
          </w:divBdr>
          <w:divsChild>
            <w:div w:id="1147745480">
              <w:marLeft w:val="-225"/>
              <w:marRight w:val="-225"/>
              <w:marTop w:val="0"/>
              <w:marBottom w:val="0"/>
              <w:divBdr>
                <w:top w:val="none" w:sz="0" w:space="0" w:color="auto"/>
                <w:left w:val="none" w:sz="0" w:space="0" w:color="auto"/>
                <w:bottom w:val="none" w:sz="0" w:space="0" w:color="auto"/>
                <w:right w:val="none" w:sz="0" w:space="0" w:color="auto"/>
              </w:divBdr>
              <w:divsChild>
                <w:div w:id="2066833700">
                  <w:marLeft w:val="0"/>
                  <w:marRight w:val="0"/>
                  <w:marTop w:val="0"/>
                  <w:marBottom w:val="0"/>
                  <w:divBdr>
                    <w:top w:val="none" w:sz="0" w:space="0" w:color="auto"/>
                    <w:left w:val="none" w:sz="0" w:space="0" w:color="auto"/>
                    <w:bottom w:val="none" w:sz="0" w:space="0" w:color="auto"/>
                    <w:right w:val="none" w:sz="0" w:space="0" w:color="auto"/>
                  </w:divBdr>
                  <w:divsChild>
                    <w:div w:id="940070981">
                      <w:marLeft w:val="0"/>
                      <w:marRight w:val="0"/>
                      <w:marTop w:val="0"/>
                      <w:marBottom w:val="0"/>
                      <w:divBdr>
                        <w:top w:val="none" w:sz="0" w:space="0" w:color="auto"/>
                        <w:left w:val="none" w:sz="0" w:space="0" w:color="auto"/>
                        <w:bottom w:val="none" w:sz="0" w:space="0" w:color="auto"/>
                        <w:right w:val="none" w:sz="0" w:space="0" w:color="auto"/>
                      </w:divBdr>
                      <w:divsChild>
                        <w:div w:id="680354481">
                          <w:marLeft w:val="-225"/>
                          <w:marRight w:val="-225"/>
                          <w:marTop w:val="0"/>
                          <w:marBottom w:val="0"/>
                          <w:divBdr>
                            <w:top w:val="none" w:sz="0" w:space="0" w:color="auto"/>
                            <w:left w:val="none" w:sz="0" w:space="0" w:color="auto"/>
                            <w:bottom w:val="none" w:sz="0" w:space="0" w:color="auto"/>
                            <w:right w:val="none" w:sz="0" w:space="0" w:color="auto"/>
                          </w:divBdr>
                          <w:divsChild>
                            <w:div w:id="1582447087">
                              <w:marLeft w:val="0"/>
                              <w:marRight w:val="0"/>
                              <w:marTop w:val="0"/>
                              <w:marBottom w:val="0"/>
                              <w:divBdr>
                                <w:top w:val="none" w:sz="0" w:space="0" w:color="auto"/>
                                <w:left w:val="none" w:sz="0" w:space="0" w:color="auto"/>
                                <w:bottom w:val="none" w:sz="0" w:space="0" w:color="auto"/>
                                <w:right w:val="none" w:sz="0" w:space="0" w:color="auto"/>
                              </w:divBdr>
                              <w:divsChild>
                                <w:div w:id="2141606373">
                                  <w:marLeft w:val="150"/>
                                  <w:marRight w:val="150"/>
                                  <w:marTop w:val="0"/>
                                  <w:marBottom w:val="0"/>
                                  <w:divBdr>
                                    <w:top w:val="none" w:sz="0" w:space="0" w:color="auto"/>
                                    <w:left w:val="none" w:sz="0" w:space="0" w:color="auto"/>
                                    <w:bottom w:val="none" w:sz="0" w:space="0" w:color="auto"/>
                                    <w:right w:val="none" w:sz="0" w:space="0" w:color="auto"/>
                                  </w:divBdr>
                                  <w:divsChild>
                                    <w:div w:id="8578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m.va.gov/cem/hmm/eligibility_law.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Vega</dc:creator>
  <cp:keywords/>
  <dc:description/>
  <cp:lastModifiedBy>Ali Vega</cp:lastModifiedBy>
  <cp:revision>1</cp:revision>
  <dcterms:created xsi:type="dcterms:W3CDTF">2021-02-04T05:41:00Z</dcterms:created>
  <dcterms:modified xsi:type="dcterms:W3CDTF">2021-02-04T05:43:00Z</dcterms:modified>
</cp:coreProperties>
</file>